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sz w:val="36"/>
          <w:rtl w:val="0"/>
        </w:rPr>
        <w:t xml:space="preserve">SAND Sports Nutrition Workshop: Field Hockey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Comic Sans MS" w:hAnsi="Comic Sans MS" w:eastAsia="Comic Sans MS" w:ascii="Comic Sans MS"/>
          <w:sz w:val="36"/>
          <w:rtl w:val="0"/>
        </w:rPr>
        <w:t xml:space="preserve">Fruit Kabobs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Team 3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- Fruit Kabobs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3133725</wp:posOffset>
            </wp:positionH>
            <wp:positionV relativeFrom="paragraph">
              <wp:posOffset>47625</wp:posOffset>
            </wp:positionV>
            <wp:extent cy="1981200" cx="2971800"/>
            <wp:effectExtent t="0" b="0" r="0" l="0"/>
            <wp:wrapSquare distR="114300" distT="114300" distB="114300" wrapText="bothSides" distL="11430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981200" cx="297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Ingredients 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- 1 skewer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 grapes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 pineapple slices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 strawberry slices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 banana slices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sz w:val="24"/>
          <w:rtl w:val="0"/>
        </w:rPr>
        <w:t xml:space="preserve">Directions</w:t>
      </w: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: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Slice strawberries into quarters.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Slice bananas.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Comic Sans MS" w:hAnsi="Comic Sans MS" w:eastAsia="Comic Sans MS" w:ascii="Comic Sans MS"/>
          <w:sz w:val="24"/>
        </w:rPr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Place a grape on the end of the skewer followed by slices of pineapple, strawberries, bananas and finish with a grape.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SNW - Fruit Kabobs.docx</dc:title>
</cp:coreProperties>
</file>